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095500" cy="885825"/>
            <wp:effectExtent t="0" r="0" b="0" l="0"/>
            <wp:docPr id="1" name="logo" descr="Finhold Advisory wordmark" title="Finhold Advis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885825"/>
                    </a:xfrm>
                    <a:prstGeom prst="rect">
                      <a:avLst/>
                    </a:prstGeom>
                  </pic:spPr>
                </pic:pic>
              </a:graphicData>
            </a:graphic>
          </wp:inline>
        </w:drawing>
      </w:r>
    </w:p>
    <w:p>
      <w:pPr>
        <w:pBdr>
          <w:bottom w:val="single" w:color="1F3057" w:sz="6" w:space="6"/>
        </w:pBdr>
        <w:tabs>
          <w:tab w:val="right" w:pos="9026"/>
        </w:tabs>
        <w:spacing w:after="100" w:before="0"/>
      </w:pPr>
      <w:r>
        <w:rPr>
          <w:rFonts w:ascii="Arial" w:cs="Arial" w:eastAsia="Arial" w:hAnsi="Arial"/>
          <w:b/>
          <w:bCs/>
          <w:color w:val="1F3057"/>
          <w:spacing w:val="30"/>
          <w:sz w:val="18"/>
          <w:szCs w:val="18"/>
        </w:rPr>
        <w:t xml:space="preserve">F O R   I M M E D I A T E   R E L E A S E</w:t>
      </w:r>
      <w:r>
        <w:rPr>
          <w:rFonts w:ascii="Arial" w:cs="Arial" w:eastAsia="Arial" w:hAnsi="Arial"/>
          <w:sz w:val="18"/>
          <w:szCs w:val="18"/>
        </w:rPr>
        <w:t xml:space="preserve">	</w:t>
      </w:r>
      <w:r>
        <w:rPr>
          <w:rFonts w:ascii="Arial" w:cs="Arial" w:eastAsia="Arial" w:hAnsi="Arial"/>
          <w:color w:val="7F7F7F"/>
          <w:sz w:val="18"/>
          <w:szCs w:val="18"/>
        </w:rPr>
        <w:t xml:space="preserve">Sofia · 27 May 2026</w:t>
      </w:r>
    </w:p>
    <w:p>
      <w:pPr>
        <w:spacing w:after="80" w:before="240" w:line="320"/>
      </w:pPr>
      <w:r>
        <w:rPr>
          <w:rFonts w:ascii="Arial" w:cs="Arial" w:eastAsia="Arial" w:hAnsi="Arial"/>
          <w:b/>
          <w:bCs/>
          <w:color w:val="0E1D3F"/>
          <w:sz w:val="36"/>
          <w:szCs w:val="36"/>
        </w:rPr>
        <w:t xml:space="preserve">Finhold Advisory launches in Sofia as a specialist EU regulatory boutique for MiCA, DORA, and corporate compliance</w:t>
      </w:r>
    </w:p>
    <w:p>
      <w:pPr>
        <w:spacing w:after="200" w:before="0" w:line="300"/>
      </w:pPr>
      <w:r>
        <w:rPr>
          <w:rFonts w:ascii="Arial" w:cs="Arial" w:eastAsia="Arial" w:hAnsi="Arial"/>
          <w:i/>
          <w:iCs/>
          <w:color w:val="525252"/>
          <w:sz w:val="22"/>
          <w:szCs w:val="22"/>
        </w:rPr>
        <w:t xml:space="preserve">Senior-only, narrow-by-design counsel across the 27 EU member states — built around three regulatory regimes and a parallel crypto M&amp;A practice.</w:t>
      </w:r>
    </w:p>
    <w:p>
      <w:pPr>
        <w:spacing w:after="240" w:before="0"/>
      </w:pPr>
      <w:r>
        <w:rPr>
          <w:rFonts w:ascii="Arial" w:cs="Arial" w:eastAsia="Arial" w:hAnsi="Arial"/>
          <w:b/>
          <w:bCs/>
          <w:color w:val="B39A6C"/>
          <w:sz w:val="22"/>
          <w:szCs w:val="22"/>
        </w:rPr>
        <w:t xml:space="preserve">_____</w:t>
      </w:r>
    </w:p>
    <w:p>
      <w:pPr>
        <w:spacing w:after="160" w:line="320"/>
        <w:jc w:val="both"/>
      </w:pPr>
      <w:r>
        <w:rPr>
          <w:rFonts w:ascii="Times New Roman" w:cs="Times New Roman" w:eastAsia="Times New Roman" w:hAnsi="Times New Roman"/>
          <w:b/>
          <w:bCs/>
          <w:i w:val="false"/>
          <w:iCs w:val="false"/>
          <w:color w:val="0A0A0A"/>
          <w:sz w:val="22"/>
          <w:szCs w:val="22"/>
        </w:rPr>
        <w:t xml:space="preserve">SOFIA, Bulgaria — 27 May 2026 — </w:t>
      </w:r>
      <w:r>
        <w:rPr>
          <w:rFonts w:ascii="Times New Roman" w:cs="Times New Roman" w:eastAsia="Times New Roman" w:hAnsi="Times New Roman"/>
          <w:color w:val="0A0A0A"/>
          <w:sz w:val="22"/>
          <w:szCs w:val="22"/>
        </w:rPr>
        <w:t xml:space="preserve">Finhold Advisory, an independent regulatory and transactional boutique focused on EU financial-services and digital-asset regulation, has formally launched today at </w:t>
      </w:r>
      <w:r>
        <w:rPr>
          <w:rFonts w:ascii="Times New Roman" w:cs="Times New Roman" w:eastAsia="Times New Roman" w:hAnsi="Times New Roman"/>
          <w:b w:val="false"/>
          <w:bCs w:val="false"/>
          <w:i/>
          <w:iCs/>
          <w:color w:val="0A0A0A"/>
          <w:sz w:val="22"/>
          <w:szCs w:val="22"/>
        </w:rPr>
        <w:t xml:space="preserve">finhold.eu</w:t>
      </w:r>
      <w:r>
        <w:rPr>
          <w:rFonts w:ascii="Times New Roman" w:cs="Times New Roman" w:eastAsia="Times New Roman" w:hAnsi="Times New Roman"/>
          <w:color w:val="0A0A0A"/>
          <w:sz w:val="22"/>
          <w:szCs w:val="22"/>
        </w:rPr>
        <w:t xml:space="preserve">. Founded by Elitsa Hinova, the firm advises clients across the 27 EU member states on the Markets in Crypto-Assets Regulation (MiCA), the Digital Operational Resilience Act (DORA), and corporate governance for regulated entities — with a parallel M&amp;A practice focused on crypto-asset service providers, token issuers, and digital-asset infrastructure.</w:t>
      </w:r>
    </w:p>
    <w:p>
      <w:pPr>
        <w:spacing w:after="160" w:line="320"/>
        <w:jc w:val="both"/>
      </w:pPr>
      <w:r>
        <w:rPr>
          <w:rFonts w:ascii="Times New Roman" w:cs="Times New Roman" w:eastAsia="Times New Roman" w:hAnsi="Times New Roman"/>
          <w:color w:val="0A0A0A"/>
          <w:sz w:val="22"/>
          <w:szCs w:val="22"/>
        </w:rPr>
        <w:t xml:space="preserve">The launch comes at a pressure point for the EU regulatory perimeter. MiCA's transitional grandfathering regime closes on 1 July 2026, exposing crypto-asset service providers to an authorisation cliff across multiple jurisdictions. DORA entered the enforcement phase of its first full supervisory cycle in 2026, with the European Supervisory Authorities having designated the first 19 critical ICT third-party providers in November 2025. The European Commission's Digital Omnibus package, published in November 2025, and the political agreement on the AI Act revisions reached on 7 May 2026, are reshaping the data, cybersecurity and AI acquis through 2026 and beyond.</w:t>
      </w:r>
    </w:p>
    <w:p>
      <w:pPr>
        <w:spacing w:after="160" w:line="320"/>
        <w:jc w:val="both"/>
      </w:pPr>
      <w:r>
        <w:rPr>
          <w:rFonts w:ascii="Times New Roman" w:cs="Times New Roman" w:eastAsia="Times New Roman" w:hAnsi="Times New Roman"/>
          <w:color w:val="0A0A0A"/>
          <w:sz w:val="22"/>
          <w:szCs w:val="22"/>
        </w:rPr>
        <w:t xml:space="preserve">Finhold's positioning is unusually direct for the practice area. The firm describes itself, on its homepage, as </w:t>
      </w:r>
      <w:r>
        <w:rPr>
          <w:rFonts w:ascii="Times New Roman" w:cs="Times New Roman" w:eastAsia="Times New Roman" w:hAnsi="Times New Roman"/>
          <w:b w:val="false"/>
          <w:bCs w:val="false"/>
          <w:i/>
          <w:iCs/>
          <w:color w:val="0A0A0A"/>
          <w:sz w:val="22"/>
          <w:szCs w:val="22"/>
        </w:rPr>
        <w:t xml:space="preserve">“a boutique built on a refusal — no leverage, no relay, no shop-window practice areas.”</w:t>
      </w:r>
      <w:r>
        <w:rPr>
          <w:rFonts w:ascii="Times New Roman" w:cs="Times New Roman" w:eastAsia="Times New Roman" w:hAnsi="Times New Roman"/>
          <w:color w:val="0A0A0A"/>
          <w:sz w:val="22"/>
          <w:szCs w:val="22"/>
        </w:rPr>
        <w:t xml:space="preserve"> Every engagement is run end-to-end by the principal. The engagement model is fixed-scope and, wherever the work allows, fixed-fee. The firm advises in English and Bulgarian.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400"/>
        <w:gridCol w:w="6960"/>
      </w:tblGrid>
      <w:tr>
        <w:tc>
          <w:tcPr>
            <w:tcW w:type="dxa" w:w="2400"/>
            <w:tcBorders>
              <w:top w:val="none" w:color="FFFFFF" w:sz="0"/>
              <w:left w:val="none" w:color="FFFFFF" w:sz="0"/>
              <w:bottom w:val="none" w:color="FFFFFF" w:sz="0"/>
              <w:right w:val="none" w:color="FFFFFF" w:sz="0"/>
            </w:tcBorders>
            <w:tcMar>
              <w:top w:type="dxa" w:w="0"/>
              <w:left w:type="dxa" w:w="0"/>
              <w:bottom w:type="dxa" w:w="0"/>
              <w:right w:type="dxa" w:w="240"/>
            </w:tcMar>
            <w:vAlign w:val="top"/>
          </w:tcPr>
          <w:p>
            <w:pPr>
              <w:spacing w:after="80"/>
            </w:pPr>
            <w:r>
              <w:drawing>
                <wp:inline distT="0" distB="0" distL="0" distR="0">
                  <wp:extent cx="1257300" cy="1571625"/>
                  <wp:effectExtent t="0" r="0" b="0" l="0"/>
                  <wp:docPr id="1" name="portrait" descr="Portrait of Elitsa Hinova, Founder and Principal of Finhold Advisory" title="Elitsa Hi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57300" cy="1571625"/>
                          </a:xfrm>
                          <a:prstGeom prst="rect">
                            <a:avLst/>
                          </a:prstGeom>
                        </pic:spPr>
                      </pic:pic>
                    </a:graphicData>
                  </a:graphic>
                </wp:inline>
              </w:drawing>
            </w:r>
          </w:p>
          <w:p>
            <w:pPr>
              <w:spacing w:after="0" w:line="240"/>
            </w:pPr>
            <w:r>
              <w:rPr>
                <w:rFonts w:ascii="Arial" w:cs="Arial" w:eastAsia="Arial" w:hAnsi="Arial"/>
                <w:b/>
                <w:bCs/>
                <w:color w:val="0E1D3F"/>
                <w:sz w:val="18"/>
                <w:szCs w:val="18"/>
              </w:rPr>
              <w:t xml:space="preserve">Elitsa Hinova</w:t>
            </w:r>
            <w:r>
              <w:br/>
              <w:t xml:space="preserve"/>
            </w:r>
            <w:r>
              <w:rPr>
                <w:rFonts w:ascii="Arial" w:cs="Arial" w:eastAsia="Arial" w:hAnsi="Arial"/>
                <w:i/>
                <w:iCs/>
                <w:color w:val="7F7F7F"/>
                <w:sz w:val="16"/>
                <w:szCs w:val="16"/>
              </w:rPr>
              <w:t xml:space="preserve">Founder · The Principal</w:t>
            </w:r>
          </w:p>
        </w:tc>
        <w:tc>
          <w:tcPr>
            <w:tcW w:type="dxa" w:w="6960"/>
            <w:tcBorders>
              <w:top w:val="none" w:color="FFFFFF" w:sz="0"/>
              <w:left w:val="none" w:color="FFFFFF" w:sz="0"/>
              <w:bottom w:val="none" w:color="FFFFFF" w:sz="0"/>
              <w:right w:val="none" w:color="FFFFFF" w:sz="0"/>
            </w:tcBorders>
            <w:tcMar>
              <w:top w:type="dxa" w:w="40"/>
              <w:left w:type="dxa" w:w="240"/>
              <w:bottom w:type="dxa" w:w="0"/>
              <w:right w:type="dxa" w:w="0"/>
            </w:tcMar>
            <w:vAlign w:val="top"/>
          </w:tcPr>
          <w:p>
            <w:pPr>
              <w:pBdr>
                <w:left w:val="single" w:color="B39A6C" w:sz="18" w:space="12"/>
              </w:pBdr>
              <w:spacing w:after="160" w:line="340"/>
              <w:ind w:left="240"/>
            </w:pPr>
            <w:r>
              <w:rPr>
                <w:rFonts w:ascii="Times New Roman" w:cs="Times New Roman" w:eastAsia="Times New Roman" w:hAnsi="Times New Roman"/>
                <w:i/>
                <w:iCs/>
                <w:color w:val="0E1D3F"/>
                <w:sz w:val="24"/>
                <w:szCs w:val="24"/>
              </w:rPr>
              <w:t xml:space="preserve">“Sophisticated regulatory and transactional work should be delivered by practitioners who understand both the legal framework and the commercial reality of operating regulated businesses. Clients who choose Finhold are choosing to work directly with senior counsel from first call to last filing, on a narrow set of regimes we have shipped before.”</w:t>
            </w:r>
          </w:p>
          <w:p>
            <w:pPr>
              <w:spacing w:after="0"/>
              <w:ind w:left="240"/>
            </w:pPr>
            <w:r>
              <w:rPr>
                <w:rFonts w:ascii="Arial" w:cs="Arial" w:eastAsia="Arial" w:hAnsi="Arial"/>
                <w:color w:val="7F7F7F"/>
                <w:sz w:val="18"/>
                <w:szCs w:val="18"/>
              </w:rPr>
              <w:t xml:space="preserve">— Elitsa Hinova, Founder and Principal, Finhold Advisory</w:t>
            </w:r>
          </w:p>
        </w:tc>
      </w:tr>
    </w:tbl>
    <w:p>
      <w:pPr>
        <w:spacing w:after="0" w:before="120"/>
      </w:pPr>
      <w:r>
        <w:rPr>
          <w:rFonts w:ascii="Times New Roman" w:cs="Times New Roman" w:eastAsia="Times New Roman" w:hAnsi="Times New Roman"/>
          <w:sz w:val="4"/>
          <w:szCs w:val="4"/>
        </w:rPr>
        <w:t xml:space="preserve"/>
      </w:r>
    </w:p>
    <w:p>
      <w:pPr>
        <w:spacing w:after="160" w:line="320"/>
        <w:jc w:val="both"/>
      </w:pPr>
      <w:r>
        <w:rPr>
          <w:rFonts w:ascii="Times New Roman" w:cs="Times New Roman" w:eastAsia="Times New Roman" w:hAnsi="Times New Roman"/>
          <w:color w:val="0A0A0A"/>
          <w:sz w:val="22"/>
          <w:szCs w:val="22"/>
        </w:rPr>
        <w:t xml:space="preserve">Before establishing Finhold, Ms Hinova spent years advising on complex banking &amp; finance, M&amp;A, and regulatory matters across the EU — with experience spanning Big Law and Big 4 practices, covering cross-border corporate transactions, leveraged and acquisition financing, venture and growth investments, regulatory structuring, and financial-services compliance. Her practice combines transactional execution with deep regulatory expertise, with particular focus on MiCA, DORA, digital assets, payment services, and corporate governance for regulated financial institutions and emerging technology businesses.</w:t>
      </w:r>
    </w:p>
    <w:p>
      <w:pPr>
        <w:spacing w:after="160" w:line="320"/>
        <w:jc w:val="both"/>
      </w:pPr>
      <w:r>
        <w:rPr>
          <w:rFonts w:ascii="Times New Roman" w:cs="Times New Roman" w:eastAsia="Times New Roman" w:hAnsi="Times New Roman"/>
          <w:color w:val="0A0A0A"/>
          <w:sz w:val="22"/>
          <w:szCs w:val="22"/>
        </w:rPr>
        <w:t xml:space="preserve">Alongside client work, the firm publishes long-form Regulatory Insight articles on the three regimes it practises, roughly monthly. Recent pieces include reviews of the MiCA 2026 authorisation cliff, the first wave of DORA supervisory findings, AI vendor procurement under the dual DORA / AI Act framework, and the Digital Omnibus simplification package. All are available at </w:t>
      </w:r>
      <w:r>
        <w:rPr>
          <w:rFonts w:ascii="Times New Roman" w:cs="Times New Roman" w:eastAsia="Times New Roman" w:hAnsi="Times New Roman"/>
          <w:b w:val="false"/>
          <w:bCs w:val="false"/>
          <w:i/>
          <w:iCs/>
          <w:color w:val="0A0A0A"/>
          <w:sz w:val="22"/>
          <w:szCs w:val="22"/>
        </w:rPr>
        <w:t xml:space="preserve">finhold.eu/insights</w:t>
      </w:r>
      <w:r>
        <w:rPr>
          <w:rFonts w:ascii="Times New Roman" w:cs="Times New Roman" w:eastAsia="Times New Roman" w:hAnsi="Times New Roman"/>
          <w:color w:val="0A0A0A"/>
          <w:sz w:val="22"/>
          <w:szCs w:val="22"/>
        </w:rPr>
        <w:t xml:space="preserve">.</w:t>
      </w:r>
    </w:p>
    <w:p>
      <w:pPr>
        <w:pBdr>
          <w:bottom w:val="single" w:color="D9D9D9" w:sz="4" w:space="4"/>
        </w:pBdr>
        <w:spacing w:after="100" w:before="280"/>
      </w:pPr>
      <w:r>
        <w:rPr>
          <w:rFonts w:ascii="Arial" w:cs="Arial" w:eastAsia="Arial" w:hAnsi="Arial"/>
          <w:b/>
          <w:bCs/>
          <w:color w:val="1F3057"/>
          <w:spacing w:val="20"/>
          <w:sz w:val="22"/>
          <w:szCs w:val="22"/>
        </w:rPr>
        <w:t xml:space="preserve">A B O U T   F I N H O L D   A D V I S O R Y</w:t>
      </w:r>
    </w:p>
    <w:p>
      <w:pPr>
        <w:spacing w:after="160" w:line="320"/>
        <w:jc w:val="both"/>
      </w:pPr>
      <w:r>
        <w:rPr>
          <w:rFonts w:ascii="Times New Roman" w:cs="Times New Roman" w:eastAsia="Times New Roman" w:hAnsi="Times New Roman"/>
          <w:color w:val="0A0A0A"/>
          <w:sz w:val="22"/>
          <w:szCs w:val="22"/>
        </w:rPr>
        <w:t xml:space="preserve">Finhold Advisory is an independent regulatory and transactional boutique headquartered in Sofia, Bulgaria, advising clients across the 27 EU member states. The firm focuses on MiCA, DORA, and corporate governance for regulated financial institutions and emerging-technology businesses, with an associated M&amp;A practice in crypto-asset and digital-asset transactions. The firm advises in English and Bulgarian. </w:t>
      </w:r>
      <w:r>
        <w:rPr>
          <w:rFonts w:ascii="Times New Roman" w:cs="Times New Roman" w:eastAsia="Times New Roman" w:hAnsi="Times New Roman"/>
          <w:b w:val="false"/>
          <w:bCs w:val="false"/>
          <w:i/>
          <w:iCs/>
          <w:color w:val="0A0A0A"/>
          <w:sz w:val="22"/>
          <w:szCs w:val="22"/>
        </w:rPr>
        <w:t xml:space="preserve">Visit finhold.eu.</w:t>
      </w:r>
    </w:p>
    <w:p>
      <w:pPr>
        <w:pBdr>
          <w:bottom w:val="single" w:color="D9D9D9" w:sz="4" w:space="4"/>
        </w:pBdr>
        <w:spacing w:after="100" w:before="280"/>
      </w:pPr>
      <w:r>
        <w:rPr>
          <w:rFonts w:ascii="Arial" w:cs="Arial" w:eastAsia="Arial" w:hAnsi="Arial"/>
          <w:b/>
          <w:bCs/>
          <w:color w:val="1F3057"/>
          <w:spacing w:val="20"/>
          <w:sz w:val="22"/>
          <w:szCs w:val="22"/>
        </w:rPr>
        <w:t xml:space="preserve">P R E S S   C O N T A C T</w:t>
      </w:r>
    </w:p>
    <w:p>
      <w:pPr>
        <w:spacing w:after="60" w:line="280"/>
      </w:pPr>
      <w:r>
        <w:rPr>
          <w:rFonts w:ascii="Arial" w:cs="Arial" w:eastAsia="Arial" w:hAnsi="Arial"/>
          <w:color w:val="7F7F7F"/>
          <w:spacing w:val="10"/>
          <w:sz w:val="18"/>
          <w:szCs w:val="18"/>
        </w:rPr>
        <w:t xml:space="preserve">Founder &amp; Principal  </w:t>
      </w:r>
      <w:r>
        <w:rPr>
          <w:rFonts w:ascii="Times New Roman" w:cs="Times New Roman" w:eastAsia="Times New Roman" w:hAnsi="Times New Roman"/>
          <w:color w:val="0A0A0A"/>
          <w:sz w:val="22"/>
          <w:szCs w:val="22"/>
        </w:rPr>
        <w:t xml:space="preserve">Elitsa Hinova</w:t>
      </w:r>
    </w:p>
    <w:p>
      <w:pPr>
        <w:spacing w:after="60" w:line="280"/>
      </w:pPr>
      <w:r>
        <w:rPr>
          <w:rFonts w:ascii="Arial" w:cs="Arial" w:eastAsia="Arial" w:hAnsi="Arial"/>
          <w:color w:val="7F7F7F"/>
          <w:spacing w:val="10"/>
          <w:sz w:val="18"/>
          <w:szCs w:val="18"/>
        </w:rPr>
        <w:t xml:space="preserve">Email  </w:t>
      </w:r>
      <w:r>
        <w:rPr>
          <w:rFonts w:ascii="Times New Roman" w:cs="Times New Roman" w:eastAsia="Times New Roman" w:hAnsi="Times New Roman"/>
          <w:color w:val="0A0A0A"/>
          <w:sz w:val="22"/>
          <w:szCs w:val="22"/>
        </w:rPr>
        <w:t xml:space="preserve">contact@finhold.eu</w:t>
      </w:r>
    </w:p>
    <w:p>
      <w:pPr>
        <w:spacing w:after="60" w:line="280"/>
      </w:pPr>
      <w:r>
        <w:rPr>
          <w:rFonts w:ascii="Arial" w:cs="Arial" w:eastAsia="Arial" w:hAnsi="Arial"/>
          <w:color w:val="7F7F7F"/>
          <w:spacing w:val="10"/>
          <w:sz w:val="18"/>
          <w:szCs w:val="18"/>
        </w:rPr>
        <w:t xml:space="preserve">Website  </w:t>
      </w:r>
      <w:r>
        <w:rPr>
          <w:rFonts w:ascii="Times New Roman" w:cs="Times New Roman" w:eastAsia="Times New Roman" w:hAnsi="Times New Roman"/>
          <w:color w:val="0A0A0A"/>
          <w:sz w:val="22"/>
          <w:szCs w:val="22"/>
        </w:rPr>
        <w:t xml:space="preserve">https://www.finhold.eu</w:t>
      </w:r>
    </w:p>
    <w:p>
      <w:pPr>
        <w:spacing w:after="60" w:line="280"/>
      </w:pPr>
      <w:r>
        <w:rPr>
          <w:rFonts w:ascii="Arial" w:cs="Arial" w:eastAsia="Arial" w:hAnsi="Arial"/>
          <w:color w:val="7F7F7F"/>
          <w:spacing w:val="10"/>
          <w:sz w:val="18"/>
          <w:szCs w:val="18"/>
        </w:rPr>
        <w:t xml:space="preserve">Office  </w:t>
      </w:r>
      <w:r>
        <w:rPr>
          <w:rFonts w:ascii="Times New Roman" w:cs="Times New Roman" w:eastAsia="Times New Roman" w:hAnsi="Times New Roman"/>
          <w:color w:val="0A0A0A"/>
          <w:sz w:val="22"/>
          <w:szCs w:val="22"/>
        </w:rPr>
        <w:t xml:space="preserve">Sofia · Bulgaria (by appointment)</w:t>
      </w:r>
    </w:p>
    <w:p>
      <w:pPr>
        <w:spacing w:after="60" w:line="280"/>
      </w:pPr>
      <w:r>
        <w:rPr>
          <w:rFonts w:ascii="Arial" w:cs="Arial" w:eastAsia="Arial" w:hAnsi="Arial"/>
          <w:color w:val="7F7F7F"/>
          <w:spacing w:val="10"/>
          <w:sz w:val="18"/>
          <w:szCs w:val="18"/>
        </w:rPr>
        <w:t xml:space="preserve">Working languages  </w:t>
      </w:r>
      <w:r>
        <w:rPr>
          <w:rFonts w:ascii="Times New Roman" w:cs="Times New Roman" w:eastAsia="Times New Roman" w:hAnsi="Times New Roman"/>
          <w:color w:val="0A0A0A"/>
          <w:sz w:val="22"/>
          <w:szCs w:val="22"/>
        </w:rPr>
        <w:t xml:space="preserve">English · Bulgarian</w:t>
      </w:r>
    </w:p>
    <w:p>
      <w:pPr>
        <w:spacing w:after="0" w:before="240"/>
        <w:jc w:val="center"/>
      </w:pPr>
      <w:r>
        <w:rPr>
          <w:rFonts w:ascii="Arial" w:cs="Arial" w:eastAsia="Arial" w:hAnsi="Arial"/>
          <w:b/>
          <w:bCs/>
          <w:color w:val="7F7F7F"/>
          <w:sz w:val="22"/>
          <w:szCs w:val="22"/>
        </w:rPr>
        <w:t xml:space="preserve"># # #</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pacing w:val="10"/>
        <w:sz w:val="16"/>
        <w:szCs w:val="16"/>
      </w:rPr>
      <w:t xml:space="preserve">Finhold Advisory  ·  finhold.eu  ·  contact@finhold.eu  ·  Sofia, Bulgaria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sz w:val="4"/>
        <w:szCs w:val="4"/>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55ede1c0f29f336cd834f7e6530df44ee8d5210a.png"/><Relationship Id="rId10" Type="http://schemas.openxmlformats.org/officeDocument/2006/relationships/image" Target="media/8904c1a98b2d4a716610ec6d2978af2564b830c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Finhold Advisory — Brand Launch Press Release</dc:title>
  <dc:creator>Finhold Advisory</dc:creator>
  <cp:lastModifiedBy>Un-named</cp:lastModifiedBy>
  <cp:revision>1</cp:revision>
  <dcterms:created xsi:type="dcterms:W3CDTF">2026-05-27T10:43:52.045Z</dcterms:created>
  <dcterms:modified xsi:type="dcterms:W3CDTF">2026-05-27T10:43:52.046Z</dcterms:modified>
</cp:coreProperties>
</file>

<file path=docProps/custom.xml><?xml version="1.0" encoding="utf-8"?>
<Properties xmlns="http://schemas.openxmlformats.org/officeDocument/2006/custom-properties" xmlns:vt="http://schemas.openxmlformats.org/officeDocument/2006/docPropsVTypes"/>
</file>